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4894" w14:textId="77777777" w:rsidR="009F5468" w:rsidRDefault="009F5468" w:rsidP="009F5468">
      <w:pPr>
        <w:jc w:val="center"/>
        <w:rPr>
          <w:b/>
          <w:bCs/>
          <w:sz w:val="28"/>
          <w:szCs w:val="28"/>
        </w:rPr>
      </w:pPr>
    </w:p>
    <w:p w14:paraId="1AC00928" w14:textId="36E6B9A2" w:rsidR="009F5468" w:rsidRPr="009F5468" w:rsidRDefault="009F5468" w:rsidP="009F5468">
      <w:pPr>
        <w:jc w:val="center"/>
        <w:rPr>
          <w:b/>
          <w:bCs/>
          <w:sz w:val="32"/>
          <w:szCs w:val="32"/>
        </w:rPr>
      </w:pPr>
      <w:r w:rsidRPr="009F5468">
        <w:rPr>
          <w:b/>
          <w:bCs/>
          <w:sz w:val="32"/>
          <w:szCs w:val="32"/>
        </w:rPr>
        <w:t>Disclosure of Services</w:t>
      </w:r>
    </w:p>
    <w:p w14:paraId="542C0C23" w14:textId="77777777" w:rsidR="009F5468" w:rsidRPr="009F5468" w:rsidRDefault="009F5468" w:rsidP="009F5468">
      <w:pPr>
        <w:rPr>
          <w:sz w:val="24"/>
          <w:szCs w:val="24"/>
        </w:rPr>
      </w:pPr>
      <w:r w:rsidRPr="009F5468">
        <w:rPr>
          <w:sz w:val="24"/>
          <w:szCs w:val="24"/>
        </w:rPr>
        <w:t>At North West Placement LLC, we specialize in senior living placement services across King and Snohomish County, guiding you through the important transition to a senior living community with care and expertise. Our mission is to help you find a home that nurtures your body, mind, and spirit—one that aligns with your unique needs and preferences. We offer personalized support as you tour communities, weigh your options, and make informed choices, ensuring that you feel confident and at ease throughout the process. Whether for yourself or a loved one, we are here to help you navigate this next chapter in life and find the perfect place—together.</w:t>
      </w:r>
    </w:p>
    <w:p w14:paraId="38DA74EE" w14:textId="77777777" w:rsidR="009F5468" w:rsidRPr="009F5468" w:rsidRDefault="009F5468" w:rsidP="009F5468">
      <w:pPr>
        <w:rPr>
          <w:sz w:val="24"/>
          <w:szCs w:val="24"/>
        </w:rPr>
      </w:pPr>
      <w:r w:rsidRPr="009F5468">
        <w:rPr>
          <w:sz w:val="24"/>
          <w:szCs w:val="24"/>
        </w:rPr>
        <w:t>We begin by understanding your needs, preferences, and overall vision for your ideal senior living experience. Our goal is to get a clear picture of what matters most to you, from the big considerations to the small details that make a difference. Below is a list of key topics we’ll explore together.</w:t>
      </w:r>
    </w:p>
    <w:p w14:paraId="2FC49C9D" w14:textId="77777777" w:rsidR="009F5468" w:rsidRPr="009F5468" w:rsidRDefault="009F5468" w:rsidP="009F5468">
      <w:pPr>
        <w:numPr>
          <w:ilvl w:val="0"/>
          <w:numId w:val="1"/>
        </w:numPr>
      </w:pPr>
      <w:r w:rsidRPr="009F5468">
        <w:rPr>
          <w:b/>
          <w:bCs/>
        </w:rPr>
        <w:t>Current Living Situation</w:t>
      </w:r>
      <w:r w:rsidRPr="009F5468">
        <w:t xml:space="preserve"> – Understanding your home environment and daily routines.</w:t>
      </w:r>
    </w:p>
    <w:p w14:paraId="24B8F7D2" w14:textId="77777777" w:rsidR="009F5468" w:rsidRPr="009F5468" w:rsidRDefault="009F5468" w:rsidP="009F5468">
      <w:pPr>
        <w:numPr>
          <w:ilvl w:val="0"/>
          <w:numId w:val="1"/>
        </w:numPr>
      </w:pPr>
      <w:r w:rsidRPr="009F5468">
        <w:rPr>
          <w:b/>
          <w:bCs/>
        </w:rPr>
        <w:t>Health History</w:t>
      </w:r>
      <w:r w:rsidRPr="009F5468">
        <w:t xml:space="preserve"> – Overview of recent medical history and key health concerns.</w:t>
      </w:r>
    </w:p>
    <w:p w14:paraId="67080363" w14:textId="77777777" w:rsidR="009F5468" w:rsidRPr="009F5468" w:rsidRDefault="009F5468" w:rsidP="009F5468">
      <w:pPr>
        <w:numPr>
          <w:ilvl w:val="0"/>
          <w:numId w:val="1"/>
        </w:numPr>
      </w:pPr>
      <w:r w:rsidRPr="009F5468">
        <w:rPr>
          <w:b/>
          <w:bCs/>
        </w:rPr>
        <w:t>Medication Management</w:t>
      </w:r>
      <w:r w:rsidRPr="009F5468">
        <w:t xml:space="preserve"> – Identifying support needs for prescriptions and scheduling.</w:t>
      </w:r>
    </w:p>
    <w:p w14:paraId="3976CD79" w14:textId="77777777" w:rsidR="009F5468" w:rsidRPr="009F5468" w:rsidRDefault="009F5468" w:rsidP="009F5468">
      <w:pPr>
        <w:numPr>
          <w:ilvl w:val="0"/>
          <w:numId w:val="1"/>
        </w:numPr>
      </w:pPr>
      <w:r w:rsidRPr="009F5468">
        <w:rPr>
          <w:b/>
          <w:bCs/>
        </w:rPr>
        <w:t>Conditions &amp; Care Needs</w:t>
      </w:r>
      <w:r w:rsidRPr="009F5468">
        <w:t xml:space="preserve"> – Diagnoses, symptoms, and reasons for seeking care.</w:t>
      </w:r>
    </w:p>
    <w:p w14:paraId="1DB57300" w14:textId="77777777" w:rsidR="009F5468" w:rsidRPr="009F5468" w:rsidRDefault="009F5468" w:rsidP="009F5468">
      <w:pPr>
        <w:numPr>
          <w:ilvl w:val="0"/>
          <w:numId w:val="1"/>
        </w:numPr>
      </w:pPr>
      <w:r w:rsidRPr="009F5468">
        <w:rPr>
          <w:b/>
          <w:bCs/>
        </w:rPr>
        <w:t>Behavioral Considerations</w:t>
      </w:r>
      <w:r w:rsidRPr="009F5468">
        <w:t xml:space="preserve"> – Special care required for significant behaviors or symptoms.</w:t>
      </w:r>
    </w:p>
    <w:p w14:paraId="55098AE2" w14:textId="77777777" w:rsidR="009F5468" w:rsidRPr="009F5468" w:rsidRDefault="009F5468" w:rsidP="009F5468">
      <w:pPr>
        <w:numPr>
          <w:ilvl w:val="0"/>
          <w:numId w:val="1"/>
        </w:numPr>
      </w:pPr>
      <w:r w:rsidRPr="009F5468">
        <w:rPr>
          <w:b/>
          <w:bCs/>
        </w:rPr>
        <w:t>Daily Assistance Requirements</w:t>
      </w:r>
      <w:r w:rsidRPr="009F5468">
        <w:t xml:space="preserve"> – Support needed for mobility, hygiene, and other activities.</w:t>
      </w:r>
    </w:p>
    <w:p w14:paraId="6A21EFAB" w14:textId="77777777" w:rsidR="009F5468" w:rsidRPr="009F5468" w:rsidRDefault="009F5468" w:rsidP="009F5468">
      <w:pPr>
        <w:numPr>
          <w:ilvl w:val="0"/>
          <w:numId w:val="1"/>
        </w:numPr>
      </w:pPr>
      <w:r w:rsidRPr="009F5468">
        <w:rPr>
          <w:b/>
          <w:bCs/>
        </w:rPr>
        <w:t>Lifestyle &amp; Interests</w:t>
      </w:r>
      <w:r w:rsidRPr="009F5468">
        <w:t xml:space="preserve"> – Hobbies, spiritual preferences, and social engagement opportunities.</w:t>
      </w:r>
    </w:p>
    <w:p w14:paraId="32F45EB8" w14:textId="77777777" w:rsidR="009F5468" w:rsidRPr="009F5468" w:rsidRDefault="009F5468" w:rsidP="009F5468">
      <w:pPr>
        <w:numPr>
          <w:ilvl w:val="0"/>
          <w:numId w:val="1"/>
        </w:numPr>
      </w:pPr>
      <w:r w:rsidRPr="009F5468">
        <w:rPr>
          <w:b/>
          <w:bCs/>
        </w:rPr>
        <w:t>Sleep Patterns</w:t>
      </w:r>
      <w:r w:rsidRPr="009F5468">
        <w:t xml:space="preserve"> – Usual sleep habits and any accommodations needed.</w:t>
      </w:r>
    </w:p>
    <w:p w14:paraId="63E28C63" w14:textId="77777777" w:rsidR="009F5468" w:rsidRPr="009F5468" w:rsidRDefault="009F5468" w:rsidP="009F5468">
      <w:pPr>
        <w:numPr>
          <w:ilvl w:val="0"/>
          <w:numId w:val="1"/>
        </w:numPr>
      </w:pPr>
      <w:r w:rsidRPr="009F5468">
        <w:rPr>
          <w:b/>
          <w:bCs/>
        </w:rPr>
        <w:t>Financial Overview</w:t>
      </w:r>
      <w:r w:rsidRPr="009F5468">
        <w:t xml:space="preserve"> – Budget considerations, insurance details, and Veteran benefits.</w:t>
      </w:r>
    </w:p>
    <w:p w14:paraId="0530A01D" w14:textId="77777777" w:rsidR="009F5468" w:rsidRPr="009F5468" w:rsidRDefault="009F5468" w:rsidP="009F5468">
      <w:pPr>
        <w:numPr>
          <w:ilvl w:val="0"/>
          <w:numId w:val="1"/>
        </w:numPr>
      </w:pPr>
      <w:r w:rsidRPr="009F5468">
        <w:rPr>
          <w:b/>
          <w:bCs/>
        </w:rPr>
        <w:t>Location Preferences</w:t>
      </w:r>
      <w:r w:rsidRPr="009F5468">
        <w:t xml:space="preserve"> – Desired geographic region for placement.</w:t>
      </w:r>
    </w:p>
    <w:p w14:paraId="56E95D41" w14:textId="5C3CAD6A" w:rsidR="009F5468" w:rsidRDefault="009F5468" w:rsidP="009F5468">
      <w:pPr>
        <w:numPr>
          <w:ilvl w:val="0"/>
          <w:numId w:val="1"/>
        </w:numPr>
      </w:pPr>
      <w:r w:rsidRPr="009F5468">
        <w:rPr>
          <w:b/>
          <w:bCs/>
        </w:rPr>
        <w:t>Dining &amp; Routine Preferences</w:t>
      </w:r>
      <w:r w:rsidRPr="009F5468">
        <w:t xml:space="preserve"> – Meal preferences and structure of daily activities.</w:t>
      </w:r>
    </w:p>
    <w:p w14:paraId="51657FFC" w14:textId="36A4449F" w:rsidR="009F5468" w:rsidRPr="009F5468" w:rsidRDefault="009F5468" w:rsidP="009F5468">
      <w:pPr>
        <w:rPr>
          <w:sz w:val="24"/>
          <w:szCs w:val="24"/>
        </w:rPr>
      </w:pPr>
      <w:r w:rsidRPr="009F5468">
        <w:rPr>
          <w:sz w:val="24"/>
          <w:szCs w:val="24"/>
        </w:rPr>
        <w:lastRenderedPageBreak/>
        <w:t xml:space="preserve">You can hire us directly or enroll our services at no direct cost to you. </w:t>
      </w:r>
    </w:p>
    <w:p w14:paraId="3DEBCD93" w14:textId="77777777" w:rsidR="009F5468" w:rsidRPr="009F5468" w:rsidRDefault="009F5468" w:rsidP="009F5468">
      <w:pPr>
        <w:rPr>
          <w:sz w:val="24"/>
          <w:szCs w:val="24"/>
        </w:rPr>
      </w:pPr>
      <w:r w:rsidRPr="009F5468">
        <w:rPr>
          <w:sz w:val="24"/>
          <w:szCs w:val="24"/>
        </w:rPr>
        <w:t>To qualify for our no-cost referral service, you cannot be receiving Medicaid (the state and federal program for those with care assistance, as well as financial needs) or be planning to apply for Medicaid within the first 6 months of your move.</w:t>
      </w:r>
    </w:p>
    <w:p w14:paraId="1A3A50E1" w14:textId="77777777" w:rsidR="009F5468" w:rsidRPr="009F5468" w:rsidRDefault="009F5468" w:rsidP="009F5468">
      <w:pPr>
        <w:rPr>
          <w:sz w:val="24"/>
          <w:szCs w:val="24"/>
        </w:rPr>
      </w:pPr>
      <w:r w:rsidRPr="009F5468">
        <w:rPr>
          <w:sz w:val="24"/>
          <w:szCs w:val="24"/>
        </w:rPr>
        <w:t>Our service is available at no cost to you; thanks to the strong and trusted relationships we’ve built with local senior living providers. These providers sign agreements with us, ensuring compensation when we successfully match them with a new resident who will thrive in their community. Our partners include independent living communities, assisted living facilities, and adult family homes.</w:t>
      </w:r>
    </w:p>
    <w:p w14:paraId="4A3D7E5C" w14:textId="77777777" w:rsidR="009F5468" w:rsidRPr="009F5468" w:rsidRDefault="009F5468" w:rsidP="009F5468">
      <w:pPr>
        <w:rPr>
          <w:sz w:val="24"/>
          <w:szCs w:val="24"/>
        </w:rPr>
      </w:pPr>
      <w:r w:rsidRPr="009F5468">
        <w:rPr>
          <w:sz w:val="24"/>
          <w:szCs w:val="24"/>
        </w:rPr>
        <w:t xml:space="preserve">To receive a referral fee, we must be the first to introduce you to a senior living provider. Once you </w:t>
      </w:r>
      <w:proofErr w:type="gramStart"/>
      <w:r w:rsidRPr="009F5468">
        <w:rPr>
          <w:sz w:val="24"/>
          <w:szCs w:val="24"/>
        </w:rPr>
        <w:t>sign</w:t>
      </w:r>
      <w:proofErr w:type="gramEnd"/>
      <w:r w:rsidRPr="009F5468">
        <w:rPr>
          <w:sz w:val="24"/>
          <w:szCs w:val="24"/>
        </w:rPr>
        <w:t xml:space="preserve"> our release of confidential information, we connect with our trusted partners on your behalf, carefully reviewing your needs and preferences to find the best match. When we identify a promising option, we arrange a tour and accompany you throughout the visit. If you decide to move in and the transition is successful, the chosen community compensates us with a referral fee, as outlined below. Since placement agents are paid by the communities they work with, we encourage you to partner with only one agency at a time for a smoother experience.</w:t>
      </w:r>
    </w:p>
    <w:p w14:paraId="34257939" w14:textId="77777777" w:rsidR="009F5468" w:rsidRPr="009F5468" w:rsidRDefault="009F5468" w:rsidP="009F5468">
      <w:pPr>
        <w:rPr>
          <w:sz w:val="24"/>
          <w:szCs w:val="24"/>
        </w:rPr>
      </w:pPr>
      <w:r w:rsidRPr="009F5468">
        <w:rPr>
          <w:sz w:val="24"/>
          <w:szCs w:val="24"/>
        </w:rPr>
        <w:t>The referral fee we earn from senior living providers ranges from 75-100% of your first month’s charges. Payment is made in up to 3 installments at 30, 60, and 90 days after move-in. For respite stays (an intentional short-term stay), 30 days or less, our fee is 20% per day and prorated to the number of days stayed. If for any unplanned reason, you stay less than 30 days, our fee is refunded and prorated at 20% per day.</w:t>
      </w:r>
    </w:p>
    <w:p w14:paraId="1CA84578" w14:textId="77777777" w:rsidR="009F5468" w:rsidRPr="009F5468" w:rsidRDefault="009F5468" w:rsidP="009F5468">
      <w:pPr>
        <w:rPr>
          <w:sz w:val="24"/>
          <w:szCs w:val="24"/>
        </w:rPr>
      </w:pPr>
      <w:r w:rsidRPr="009F5468">
        <w:rPr>
          <w:sz w:val="24"/>
          <w:szCs w:val="24"/>
        </w:rPr>
        <w:t>Before moving into an Assisted Living Facility (ALF) or an Adult Family Home (AFH) in Washington State, a pre-admission nursing assessment is required. ALFs provide these assessments at no cost, while AFHs require you to hire a Registered Nurse qualified to perform them. The fee for an assessment typically ranges from $400 to $500. Many AFHs have an established partnership with an RN who conducts assessments for new residents. If you select a home that does not have an assessing nurse available when needed, we can provide a list of local RN assessors and assist you in finding one.</w:t>
      </w:r>
    </w:p>
    <w:p w14:paraId="6AF12805" w14:textId="77777777" w:rsidR="009F5468" w:rsidRDefault="009F5468" w:rsidP="009F5468"/>
    <w:p w14:paraId="31D23684" w14:textId="77777777" w:rsidR="009F5468" w:rsidRDefault="009F5468" w:rsidP="009F5468"/>
    <w:p w14:paraId="78E71BB1" w14:textId="77777777" w:rsidR="002E1962" w:rsidRDefault="002E1962" w:rsidP="009F5468">
      <w:pPr>
        <w:rPr>
          <w:sz w:val="24"/>
          <w:szCs w:val="24"/>
        </w:rPr>
      </w:pPr>
    </w:p>
    <w:p w14:paraId="7E7DC430" w14:textId="2786C959" w:rsidR="009F5468" w:rsidRPr="009F5468" w:rsidRDefault="009F5468" w:rsidP="009F5468">
      <w:pPr>
        <w:rPr>
          <w:sz w:val="24"/>
          <w:szCs w:val="24"/>
        </w:rPr>
      </w:pPr>
      <w:r w:rsidRPr="009F5468">
        <w:rPr>
          <w:sz w:val="24"/>
          <w:szCs w:val="24"/>
        </w:rPr>
        <w:t>In 2012, Washington State enacted the Elder and Vulnerable Adult Referral Act (RCW 18.330), setting minimum standards of conduct for businesses like ours. Every senior provider we collaborate with undergoes thorough pre-screening to ensure compliance with these guidelines. We continuously monitor and reassess our partnering providers as needed. When we present options to you, we will share the date of our most recent tour of each location. Our role is to represent and advocate for both you and our partnering senior living providers.</w:t>
      </w:r>
    </w:p>
    <w:p w14:paraId="39DC5D19" w14:textId="77777777" w:rsidR="009F5468" w:rsidRPr="009F5468" w:rsidRDefault="009F5468" w:rsidP="009F5468">
      <w:pPr>
        <w:rPr>
          <w:sz w:val="24"/>
          <w:szCs w:val="24"/>
        </w:rPr>
      </w:pPr>
      <w:r w:rsidRPr="009F5468">
        <w:rPr>
          <w:sz w:val="24"/>
          <w:szCs w:val="24"/>
        </w:rPr>
        <w:t>Our provider screening includes onsite and virtual visits and a review of the following:</w:t>
      </w:r>
    </w:p>
    <w:p w14:paraId="55EC6511" w14:textId="77777777" w:rsidR="009F5468" w:rsidRPr="009F5468" w:rsidRDefault="009F5468" w:rsidP="009F5468">
      <w:pPr>
        <w:numPr>
          <w:ilvl w:val="0"/>
          <w:numId w:val="2"/>
        </w:numPr>
        <w:rPr>
          <w:sz w:val="24"/>
          <w:szCs w:val="24"/>
        </w:rPr>
      </w:pPr>
      <w:r w:rsidRPr="009F5468">
        <w:rPr>
          <w:sz w:val="24"/>
          <w:szCs w:val="24"/>
        </w:rPr>
        <w:t>Facility licensing and regulatory compliance</w:t>
      </w:r>
    </w:p>
    <w:p w14:paraId="68EE26F9" w14:textId="77777777" w:rsidR="009F5468" w:rsidRPr="009F5468" w:rsidRDefault="009F5468" w:rsidP="009F5468">
      <w:pPr>
        <w:numPr>
          <w:ilvl w:val="0"/>
          <w:numId w:val="2"/>
        </w:numPr>
        <w:rPr>
          <w:sz w:val="24"/>
          <w:szCs w:val="24"/>
        </w:rPr>
      </w:pPr>
      <w:r w:rsidRPr="009F5468">
        <w:rPr>
          <w:sz w:val="24"/>
          <w:szCs w:val="24"/>
        </w:rPr>
        <w:t>Provider credentials and background information</w:t>
      </w:r>
    </w:p>
    <w:p w14:paraId="135A0A95" w14:textId="77777777" w:rsidR="009F5468" w:rsidRPr="009F5468" w:rsidRDefault="009F5468" w:rsidP="009F5468">
      <w:pPr>
        <w:numPr>
          <w:ilvl w:val="0"/>
          <w:numId w:val="2"/>
        </w:numPr>
        <w:rPr>
          <w:sz w:val="24"/>
          <w:szCs w:val="24"/>
        </w:rPr>
      </w:pPr>
      <w:r w:rsidRPr="009F5468">
        <w:rPr>
          <w:sz w:val="24"/>
          <w:szCs w:val="24"/>
        </w:rPr>
        <w:t>Caregiver qualifications and staffing ratios</w:t>
      </w:r>
    </w:p>
    <w:p w14:paraId="0054ADBB" w14:textId="77777777" w:rsidR="009F5468" w:rsidRPr="009F5468" w:rsidRDefault="009F5468" w:rsidP="009F5468">
      <w:pPr>
        <w:numPr>
          <w:ilvl w:val="0"/>
          <w:numId w:val="2"/>
        </w:numPr>
        <w:rPr>
          <w:sz w:val="24"/>
          <w:szCs w:val="24"/>
        </w:rPr>
      </w:pPr>
      <w:r w:rsidRPr="009F5468">
        <w:rPr>
          <w:sz w:val="24"/>
          <w:szCs w:val="24"/>
        </w:rPr>
        <w:t>Cultural accommodation and available activities</w:t>
      </w:r>
    </w:p>
    <w:p w14:paraId="4B9989DE" w14:textId="77777777" w:rsidR="009F5468" w:rsidRPr="009F5468" w:rsidRDefault="009F5468" w:rsidP="009F5468">
      <w:pPr>
        <w:numPr>
          <w:ilvl w:val="0"/>
          <w:numId w:val="2"/>
        </w:numPr>
        <w:rPr>
          <w:sz w:val="24"/>
          <w:szCs w:val="24"/>
        </w:rPr>
      </w:pPr>
      <w:r w:rsidRPr="009F5468">
        <w:rPr>
          <w:sz w:val="24"/>
          <w:szCs w:val="24"/>
        </w:rPr>
        <w:t>Types of care provided and any limitations</w:t>
      </w:r>
    </w:p>
    <w:p w14:paraId="5C4AE68F" w14:textId="77777777" w:rsidR="009F5468" w:rsidRPr="009F5468" w:rsidRDefault="009F5468" w:rsidP="009F5468">
      <w:pPr>
        <w:numPr>
          <w:ilvl w:val="0"/>
          <w:numId w:val="2"/>
        </w:numPr>
        <w:rPr>
          <w:sz w:val="24"/>
          <w:szCs w:val="24"/>
        </w:rPr>
      </w:pPr>
      <w:r w:rsidRPr="009F5468">
        <w:rPr>
          <w:sz w:val="24"/>
          <w:szCs w:val="24"/>
        </w:rPr>
        <w:t>Behavioral challenges that can and cannot be supported</w:t>
      </w:r>
    </w:p>
    <w:p w14:paraId="407BED2B" w14:textId="77777777" w:rsidR="009F5468" w:rsidRPr="009F5468" w:rsidRDefault="009F5468" w:rsidP="009F5468">
      <w:pPr>
        <w:numPr>
          <w:ilvl w:val="0"/>
          <w:numId w:val="2"/>
        </w:numPr>
        <w:rPr>
          <w:sz w:val="24"/>
          <w:szCs w:val="24"/>
        </w:rPr>
      </w:pPr>
      <w:r w:rsidRPr="009F5468">
        <w:rPr>
          <w:sz w:val="24"/>
          <w:szCs w:val="24"/>
        </w:rPr>
        <w:t>Meal plans and special dietary accommodations</w:t>
      </w:r>
    </w:p>
    <w:p w14:paraId="6D464FB4" w14:textId="77777777" w:rsidR="009F5468" w:rsidRPr="009F5468" w:rsidRDefault="009F5468" w:rsidP="009F5468">
      <w:pPr>
        <w:numPr>
          <w:ilvl w:val="0"/>
          <w:numId w:val="2"/>
        </w:numPr>
        <w:rPr>
          <w:sz w:val="24"/>
          <w:szCs w:val="24"/>
        </w:rPr>
      </w:pPr>
      <w:r w:rsidRPr="009F5468">
        <w:rPr>
          <w:sz w:val="24"/>
          <w:szCs w:val="24"/>
        </w:rPr>
        <w:t>Accepted payment sources, including Medicaid eligibility</w:t>
      </w:r>
    </w:p>
    <w:p w14:paraId="3D6C985D" w14:textId="77777777" w:rsidR="009F5468" w:rsidRPr="009F5468" w:rsidRDefault="009F5468" w:rsidP="009F5468">
      <w:pPr>
        <w:numPr>
          <w:ilvl w:val="0"/>
          <w:numId w:val="2"/>
        </w:numPr>
        <w:rPr>
          <w:sz w:val="24"/>
          <w:szCs w:val="24"/>
        </w:rPr>
      </w:pPr>
      <w:r w:rsidRPr="009F5468">
        <w:rPr>
          <w:sz w:val="24"/>
          <w:szCs w:val="24"/>
        </w:rPr>
        <w:t>Additional specialized care and services offered</w:t>
      </w:r>
    </w:p>
    <w:p w14:paraId="0A1DF7E3" w14:textId="77777777" w:rsidR="009F5468" w:rsidRPr="009F5468" w:rsidRDefault="009F5468" w:rsidP="009F5468">
      <w:pPr>
        <w:numPr>
          <w:ilvl w:val="0"/>
          <w:numId w:val="2"/>
        </w:numPr>
        <w:rPr>
          <w:sz w:val="24"/>
          <w:szCs w:val="24"/>
        </w:rPr>
      </w:pPr>
      <w:r w:rsidRPr="009F5468">
        <w:rPr>
          <w:sz w:val="24"/>
          <w:szCs w:val="24"/>
        </w:rPr>
        <w:t>Publicly available citations on the Dept. of Social &amp; Health Services website.</w:t>
      </w:r>
    </w:p>
    <w:p w14:paraId="3ABB799C" w14:textId="66FBAA3F" w:rsidR="009F5468" w:rsidRPr="009F5468" w:rsidRDefault="009F5468" w:rsidP="009F5468">
      <w:pPr>
        <w:rPr>
          <w:sz w:val="24"/>
          <w:szCs w:val="24"/>
        </w:rPr>
      </w:pPr>
      <w:r w:rsidRPr="009F5468">
        <w:rPr>
          <w:sz w:val="24"/>
          <w:szCs w:val="24"/>
        </w:rPr>
        <w:t xml:space="preserve">You and your family or representatives may, without cause, stop using our service or switch to another agency without penalty or a cancellation fee. At no time will we ask or require you to sign waivers of liability or waivers of rights. For consumer complaints about a referral agency contact the Attorney General’s office: 1-800-551-4636, 800 5th Ave. Ste. 2000 Seattle, WA 98104, </w:t>
      </w:r>
      <w:hyperlink r:id="rId7" w:history="1">
        <w:r w:rsidRPr="009F5468">
          <w:rPr>
            <w:rStyle w:val="Hyperlink"/>
            <w:sz w:val="24"/>
            <w:szCs w:val="24"/>
          </w:rPr>
          <w:t>https://www.atg.wa.gov/file-complaint</w:t>
        </w:r>
      </w:hyperlink>
      <w:r w:rsidRPr="009F5468">
        <w:rPr>
          <w:sz w:val="24"/>
          <w:szCs w:val="24"/>
        </w:rPr>
        <w:t>.</w:t>
      </w:r>
    </w:p>
    <w:p w14:paraId="45352DB6" w14:textId="77777777" w:rsidR="009F5468" w:rsidRPr="009F5468" w:rsidRDefault="009F5468" w:rsidP="009F5468"/>
    <w:p w14:paraId="40384328" w14:textId="77777777" w:rsidR="009F5468" w:rsidRDefault="009F5468" w:rsidP="009F5468"/>
    <w:p w14:paraId="2F504EAB" w14:textId="77777777" w:rsidR="009F5468" w:rsidRDefault="009F5468" w:rsidP="009F5468"/>
    <w:p w14:paraId="2427895E" w14:textId="14C6F276" w:rsidR="009F5468" w:rsidRPr="009F5468" w:rsidRDefault="009F5468" w:rsidP="009F5468">
      <w:pPr>
        <w:rPr>
          <w:sz w:val="24"/>
          <w:szCs w:val="24"/>
        </w:rPr>
      </w:pPr>
      <w:r w:rsidRPr="009F5468">
        <w:rPr>
          <w:sz w:val="24"/>
          <w:szCs w:val="24"/>
        </w:rPr>
        <w:lastRenderedPageBreak/>
        <w:t>We truly appreciate the opportunity to assist you in finding a senior living community to call home. It’s a privilege to hear your story, answer your questions, and support you every step of the way—through the move-in process and beyond. Once you've made your decision, we will follow up with both you and the staff at your chosen community. If any concerns arise, we are here to advocate for you and provide ongoing support. We look forward to working alongside you, your family, or your representative.</w:t>
      </w:r>
    </w:p>
    <w:p w14:paraId="43D75D53" w14:textId="77777777" w:rsidR="009F5468" w:rsidRDefault="009F5468" w:rsidP="009F5468">
      <w:pPr>
        <w:rPr>
          <w:sz w:val="24"/>
          <w:szCs w:val="24"/>
        </w:rPr>
      </w:pPr>
    </w:p>
    <w:p w14:paraId="0C9B94D9" w14:textId="7DB518D6" w:rsidR="009F5468" w:rsidRDefault="009F5468" w:rsidP="009F5468">
      <w:pPr>
        <w:rPr>
          <w:sz w:val="24"/>
          <w:szCs w:val="24"/>
        </w:rPr>
      </w:pPr>
      <w:r w:rsidRPr="009F5468">
        <w:rPr>
          <w:sz w:val="24"/>
          <w:szCs w:val="24"/>
        </w:rPr>
        <w:t xml:space="preserve">I acknowledge that I have received, read and understand the </w:t>
      </w:r>
      <w:r w:rsidRPr="009F5468">
        <w:rPr>
          <w:b/>
          <w:bCs/>
          <w:sz w:val="24"/>
          <w:szCs w:val="24"/>
        </w:rPr>
        <w:t>North West Placement LLC</w:t>
      </w:r>
      <w:r w:rsidRPr="009F5468">
        <w:rPr>
          <w:sz w:val="24"/>
          <w:szCs w:val="24"/>
        </w:rPr>
        <w:t xml:space="preserve"> Disclosure of Services: </w:t>
      </w:r>
    </w:p>
    <w:p w14:paraId="64CB721C" w14:textId="77777777" w:rsidR="002E1962" w:rsidRDefault="002E1962">
      <w:pPr>
        <w:rPr>
          <w:kern w:val="0"/>
          <w14:ligatures w14:val="none"/>
        </w:rPr>
      </w:pPr>
      <w:r>
        <w:rPr>
          <w:b/>
          <w:bCs/>
          <w:sz w:val="24"/>
          <w:szCs w:val="24"/>
        </w:rPr>
        <w:t>Printed Name(s) of Senior(s)/Couple Seeking Senior Living Options:</w:t>
      </w:r>
    </w:p>
    <w:p w14:paraId="6BE576FC" w14:textId="77777777" w:rsidR="002E1962" w:rsidRDefault="002E1962">
      <w:r>
        <w:t>________________________________________________________________</w:t>
      </w:r>
    </w:p>
    <w:p w14:paraId="5D128114" w14:textId="77777777" w:rsidR="002E1962" w:rsidRDefault="002E1962">
      <w:r>
        <w:rPr>
          <w:b/>
          <w:bCs/>
          <w:sz w:val="24"/>
          <w:szCs w:val="24"/>
        </w:rPr>
        <w:t>Authorized Signature:</w:t>
      </w:r>
    </w:p>
    <w:p w14:paraId="29EECCE2" w14:textId="77777777" w:rsidR="002E1962" w:rsidRDefault="002E1962">
      <w:r>
        <w:t>____________________________________</w:t>
      </w:r>
    </w:p>
    <w:p w14:paraId="4936D42A" w14:textId="77777777" w:rsidR="002E1962" w:rsidRDefault="002E1962">
      <w:r>
        <w:rPr>
          <w:b/>
          <w:bCs/>
          <w:sz w:val="24"/>
          <w:szCs w:val="24"/>
        </w:rPr>
        <w:t>Date:</w:t>
      </w:r>
      <w:r>
        <w:rPr>
          <w:sz w:val="24"/>
          <w:szCs w:val="24"/>
        </w:rPr>
        <w:t xml:space="preserve"> __________________</w:t>
      </w:r>
    </w:p>
    <w:p w14:paraId="577635D5" w14:textId="77777777" w:rsidR="002E1962" w:rsidRDefault="002E1962">
      <w:r>
        <w:rPr>
          <w:b/>
          <w:bCs/>
          <w:sz w:val="24"/>
          <w:szCs w:val="24"/>
        </w:rPr>
        <w:t>Printed Name of Signer:</w:t>
      </w:r>
    </w:p>
    <w:p w14:paraId="6CFC1FC4" w14:textId="77777777" w:rsidR="002E1962" w:rsidRDefault="002E1962">
      <w:r>
        <w:t>________________________________________________</w:t>
      </w:r>
    </w:p>
    <w:p w14:paraId="1F5B97EB" w14:textId="77777777" w:rsidR="002E1962" w:rsidRDefault="002E1962">
      <w:r>
        <w:rPr>
          <w:b/>
          <w:bCs/>
          <w:sz w:val="24"/>
          <w:szCs w:val="24"/>
        </w:rPr>
        <w:t>Relationship of Signer to Applicant:</w:t>
      </w:r>
    </w:p>
    <w:p w14:paraId="17DFD3A3" w14:textId="77777777" w:rsidR="002E1962" w:rsidRDefault="002E1962">
      <w:r>
        <w:rPr>
          <w:b/>
          <w:bCs/>
          <w:sz w:val="24"/>
          <w:szCs w:val="24"/>
        </w:rPr>
        <w:t>Please select one:</w:t>
      </w:r>
    </w:p>
    <w:p w14:paraId="00C6CFB6" w14:textId="77777777" w:rsidR="002E1962" w:rsidRDefault="002E1962">
      <w:r>
        <w:t xml:space="preserve">□ Spouse   □ Healthcare DPOA   □ Financial DPOA   □ Other (please specify): ______________________________ </w:t>
      </w:r>
    </w:p>
    <w:p w14:paraId="49164EC5" w14:textId="77777777" w:rsidR="009F5468" w:rsidRDefault="009F5468" w:rsidP="009F5468">
      <w:pPr>
        <w:rPr>
          <w:sz w:val="24"/>
          <w:szCs w:val="24"/>
        </w:rPr>
      </w:pPr>
    </w:p>
    <w:p w14:paraId="6984C891" w14:textId="77D8C07E" w:rsidR="009F5468" w:rsidRPr="009F5468" w:rsidRDefault="009F5468" w:rsidP="009F5468">
      <w:pPr>
        <w:rPr>
          <w:sz w:val="24"/>
          <w:szCs w:val="24"/>
        </w:rPr>
      </w:pPr>
      <w:r w:rsidRPr="009F5468">
        <w:rPr>
          <w:sz w:val="24"/>
          <w:szCs w:val="24"/>
        </w:rPr>
        <w:t xml:space="preserve">This signed form can be returned to </w:t>
      </w:r>
      <w:r w:rsidRPr="009F5468">
        <w:rPr>
          <w:b/>
          <w:bCs/>
          <w:sz w:val="24"/>
          <w:szCs w:val="24"/>
        </w:rPr>
        <w:t>North West Placement LLC</w:t>
      </w:r>
      <w:r w:rsidRPr="009F5468">
        <w:rPr>
          <w:sz w:val="24"/>
          <w:szCs w:val="24"/>
        </w:rPr>
        <w:t xml:space="preserve"> in one of the following ways (if using Docusign, it will automatically be sent to us): </w:t>
      </w:r>
    </w:p>
    <w:p w14:paraId="260F5A6A" w14:textId="77777777" w:rsidR="009F5468" w:rsidRPr="009F5468" w:rsidRDefault="009F5468" w:rsidP="009F5468">
      <w:pPr>
        <w:rPr>
          <w:sz w:val="24"/>
          <w:szCs w:val="24"/>
        </w:rPr>
      </w:pPr>
      <w:r w:rsidRPr="009F5468">
        <w:rPr>
          <w:sz w:val="24"/>
          <w:szCs w:val="24"/>
        </w:rPr>
        <w:t xml:space="preserve">1. Email: The agent you are working with or nathan@Northwestplacement.com </w:t>
      </w:r>
    </w:p>
    <w:p w14:paraId="11B38EE4" w14:textId="2C3C93C1" w:rsidR="009F5468" w:rsidRPr="009F5468" w:rsidRDefault="009F5468" w:rsidP="009F5468">
      <w:pPr>
        <w:rPr>
          <w:sz w:val="24"/>
          <w:szCs w:val="24"/>
        </w:rPr>
      </w:pPr>
      <w:r w:rsidRPr="009F5468">
        <w:rPr>
          <w:sz w:val="24"/>
          <w:szCs w:val="24"/>
        </w:rPr>
        <w:t>2. Mail: 5225 Norman Rd</w:t>
      </w:r>
      <w:r>
        <w:rPr>
          <w:sz w:val="24"/>
          <w:szCs w:val="24"/>
        </w:rPr>
        <w:t xml:space="preserve"> </w:t>
      </w:r>
      <w:r w:rsidRPr="009F5468">
        <w:rPr>
          <w:sz w:val="24"/>
          <w:szCs w:val="24"/>
        </w:rPr>
        <w:t>Stanwood, WA 98292</w:t>
      </w:r>
    </w:p>
    <w:p w14:paraId="3E264DC6" w14:textId="77777777" w:rsidR="00D424A7" w:rsidRDefault="00D424A7"/>
    <w:sectPr w:rsidR="00D424A7" w:rsidSect="00CF38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46AA" w14:textId="77777777" w:rsidR="007C3326" w:rsidRDefault="007C3326" w:rsidP="009F5468">
      <w:pPr>
        <w:spacing w:after="0" w:line="240" w:lineRule="auto"/>
      </w:pPr>
      <w:r>
        <w:separator/>
      </w:r>
    </w:p>
  </w:endnote>
  <w:endnote w:type="continuationSeparator" w:id="0">
    <w:p w14:paraId="004D4427" w14:textId="77777777" w:rsidR="007C3326" w:rsidRDefault="007C3326" w:rsidP="009F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5020" w14:textId="77777777" w:rsidR="00CF3818" w:rsidRDefault="00CF38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E6F5" w14:textId="7C0A2CB4" w:rsidR="008669B3" w:rsidRDefault="00CF3818" w:rsidP="008669B3">
    <w:pPr>
      <w:pStyle w:val="Footer"/>
      <w:jc w:val="center"/>
    </w:pPr>
    <w:r>
      <w:t>5225 Norman Rd Stanwood, WA 98292</w:t>
    </w:r>
  </w:p>
  <w:p w14:paraId="236DE196" w14:textId="2D61DE37" w:rsidR="008669B3" w:rsidRDefault="00CF3818" w:rsidP="008669B3">
    <w:pPr>
      <w:pStyle w:val="Footer"/>
      <w:jc w:val="center"/>
    </w:pPr>
    <w:r>
      <w:t>(206) 227-1652</w:t>
    </w:r>
  </w:p>
  <w:p w14:paraId="0BDB449B" w14:textId="412AD659" w:rsidR="00CF3818" w:rsidRPr="008669B3" w:rsidRDefault="00CF3818" w:rsidP="008669B3">
    <w:pPr>
      <w:pStyle w:val="Footer"/>
      <w:jc w:val="center"/>
    </w:pPr>
    <w:r>
      <w:t>Northwestplacement.com</w:t>
    </w:r>
  </w:p>
  <w:p w14:paraId="7DB2FBE6" w14:textId="77777777" w:rsidR="00CF3818" w:rsidRDefault="00CF3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F6B8" w14:textId="77777777" w:rsidR="00CF3818" w:rsidRDefault="00CF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FCCF" w14:textId="77777777" w:rsidR="007C3326" w:rsidRDefault="007C3326" w:rsidP="009F5468">
      <w:pPr>
        <w:spacing w:after="0" w:line="240" w:lineRule="auto"/>
      </w:pPr>
      <w:r>
        <w:separator/>
      </w:r>
    </w:p>
  </w:footnote>
  <w:footnote w:type="continuationSeparator" w:id="0">
    <w:p w14:paraId="17C90EFA" w14:textId="77777777" w:rsidR="007C3326" w:rsidRDefault="007C3326" w:rsidP="009F5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702B" w14:textId="77777777" w:rsidR="00CF3818" w:rsidRDefault="00CF3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D4D2" w14:textId="24D3CFA7" w:rsidR="009F5468" w:rsidRDefault="009F5468">
    <w:pPr>
      <w:pStyle w:val="Header"/>
    </w:pPr>
    <w:r>
      <w:rPr>
        <w:noProof/>
      </w:rPr>
      <w:drawing>
        <wp:anchor distT="0" distB="0" distL="114300" distR="114300" simplePos="0" relativeHeight="251659264" behindDoc="0" locked="0" layoutInCell="1" allowOverlap="0" wp14:anchorId="6CD1F8C1" wp14:editId="44BCDBE4">
          <wp:simplePos x="0" y="0"/>
          <wp:positionH relativeFrom="page">
            <wp:align>left</wp:align>
          </wp:positionH>
          <wp:positionV relativeFrom="page">
            <wp:posOffset>19050</wp:posOffset>
          </wp:positionV>
          <wp:extent cx="7753350" cy="1955800"/>
          <wp:effectExtent l="0" t="0" r="0" b="6350"/>
          <wp:wrapTopAndBottom/>
          <wp:docPr id="8484" name="Picture 8484"/>
          <wp:cNvGraphicFramePr/>
          <a:graphic xmlns:a="http://schemas.openxmlformats.org/drawingml/2006/main">
            <a:graphicData uri="http://schemas.openxmlformats.org/drawingml/2006/picture">
              <pic:pic xmlns:pic="http://schemas.openxmlformats.org/drawingml/2006/picture">
                <pic:nvPicPr>
                  <pic:cNvPr id="8484" name="Picture 8484"/>
                  <pic:cNvPicPr/>
                </pic:nvPicPr>
                <pic:blipFill>
                  <a:blip r:embed="rId1"/>
                  <a:stretch>
                    <a:fillRect/>
                  </a:stretch>
                </pic:blipFill>
                <pic:spPr>
                  <a:xfrm>
                    <a:off x="0" y="0"/>
                    <a:ext cx="7753350" cy="195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61E2" w14:textId="77777777" w:rsidR="00CF3818" w:rsidRDefault="00CF3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51D8"/>
    <w:multiLevelType w:val="multilevel"/>
    <w:tmpl w:val="027A6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02D3E4A"/>
    <w:multiLevelType w:val="hybridMultilevel"/>
    <w:tmpl w:val="4EFC8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77878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408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68"/>
    <w:rsid w:val="002E1962"/>
    <w:rsid w:val="004A6EEA"/>
    <w:rsid w:val="007C3326"/>
    <w:rsid w:val="008669B3"/>
    <w:rsid w:val="008F40F1"/>
    <w:rsid w:val="009F5468"/>
    <w:rsid w:val="00B8513D"/>
    <w:rsid w:val="00CF3818"/>
    <w:rsid w:val="00D4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DA30"/>
  <w15:chartTrackingRefBased/>
  <w15:docId w15:val="{1A9280B3-9D78-4B43-8076-AA80F211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468"/>
    <w:rPr>
      <w:rFonts w:eastAsiaTheme="majorEastAsia" w:cstheme="majorBidi"/>
      <w:color w:val="272727" w:themeColor="text1" w:themeTint="D8"/>
    </w:rPr>
  </w:style>
  <w:style w:type="paragraph" w:styleId="Title">
    <w:name w:val="Title"/>
    <w:basedOn w:val="Normal"/>
    <w:next w:val="Normal"/>
    <w:link w:val="TitleChar"/>
    <w:uiPriority w:val="10"/>
    <w:qFormat/>
    <w:rsid w:val="009F5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468"/>
    <w:pPr>
      <w:spacing w:before="160"/>
      <w:jc w:val="center"/>
    </w:pPr>
    <w:rPr>
      <w:i/>
      <w:iCs/>
      <w:color w:val="404040" w:themeColor="text1" w:themeTint="BF"/>
    </w:rPr>
  </w:style>
  <w:style w:type="character" w:customStyle="1" w:styleId="QuoteChar">
    <w:name w:val="Quote Char"/>
    <w:basedOn w:val="DefaultParagraphFont"/>
    <w:link w:val="Quote"/>
    <w:uiPriority w:val="29"/>
    <w:rsid w:val="009F5468"/>
    <w:rPr>
      <w:i/>
      <w:iCs/>
      <w:color w:val="404040" w:themeColor="text1" w:themeTint="BF"/>
    </w:rPr>
  </w:style>
  <w:style w:type="paragraph" w:styleId="ListParagraph">
    <w:name w:val="List Paragraph"/>
    <w:basedOn w:val="Normal"/>
    <w:uiPriority w:val="34"/>
    <w:qFormat/>
    <w:rsid w:val="009F5468"/>
    <w:pPr>
      <w:ind w:left="720"/>
      <w:contextualSpacing/>
    </w:pPr>
  </w:style>
  <w:style w:type="character" w:styleId="IntenseEmphasis">
    <w:name w:val="Intense Emphasis"/>
    <w:basedOn w:val="DefaultParagraphFont"/>
    <w:uiPriority w:val="21"/>
    <w:qFormat/>
    <w:rsid w:val="009F5468"/>
    <w:rPr>
      <w:i/>
      <w:iCs/>
      <w:color w:val="0F4761" w:themeColor="accent1" w:themeShade="BF"/>
    </w:rPr>
  </w:style>
  <w:style w:type="paragraph" w:styleId="IntenseQuote">
    <w:name w:val="Intense Quote"/>
    <w:basedOn w:val="Normal"/>
    <w:next w:val="Normal"/>
    <w:link w:val="IntenseQuoteChar"/>
    <w:uiPriority w:val="30"/>
    <w:qFormat/>
    <w:rsid w:val="009F5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468"/>
    <w:rPr>
      <w:i/>
      <w:iCs/>
      <w:color w:val="0F4761" w:themeColor="accent1" w:themeShade="BF"/>
    </w:rPr>
  </w:style>
  <w:style w:type="character" w:styleId="IntenseReference">
    <w:name w:val="Intense Reference"/>
    <w:basedOn w:val="DefaultParagraphFont"/>
    <w:uiPriority w:val="32"/>
    <w:qFormat/>
    <w:rsid w:val="009F5468"/>
    <w:rPr>
      <w:b/>
      <w:bCs/>
      <w:smallCaps/>
      <w:color w:val="0F4761" w:themeColor="accent1" w:themeShade="BF"/>
      <w:spacing w:val="5"/>
    </w:rPr>
  </w:style>
  <w:style w:type="paragraph" w:styleId="Header">
    <w:name w:val="header"/>
    <w:basedOn w:val="Normal"/>
    <w:link w:val="HeaderChar"/>
    <w:uiPriority w:val="99"/>
    <w:unhideWhenUsed/>
    <w:rsid w:val="009F5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468"/>
  </w:style>
  <w:style w:type="paragraph" w:styleId="Footer">
    <w:name w:val="footer"/>
    <w:basedOn w:val="Normal"/>
    <w:link w:val="FooterChar"/>
    <w:uiPriority w:val="99"/>
    <w:unhideWhenUsed/>
    <w:rsid w:val="009F5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468"/>
  </w:style>
  <w:style w:type="character" w:styleId="Hyperlink">
    <w:name w:val="Hyperlink"/>
    <w:basedOn w:val="DefaultParagraphFont"/>
    <w:uiPriority w:val="99"/>
    <w:unhideWhenUsed/>
    <w:rsid w:val="009F5468"/>
    <w:rPr>
      <w:color w:val="467886" w:themeColor="hyperlink"/>
      <w:u w:val="single"/>
    </w:rPr>
  </w:style>
  <w:style w:type="character" w:styleId="UnresolvedMention">
    <w:name w:val="Unresolved Mention"/>
    <w:basedOn w:val="DefaultParagraphFont"/>
    <w:uiPriority w:val="99"/>
    <w:semiHidden/>
    <w:unhideWhenUsed/>
    <w:rsid w:val="009F5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tg.wa.gov/file-complai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1115</Words>
  <Characters>6105</Characters>
  <Application>Microsoft Office Word</Application>
  <DocSecurity>0</DocSecurity>
  <Lines>111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nilson</dc:creator>
  <cp:keywords/>
  <dc:description/>
  <cp:lastModifiedBy>nathan nilson</cp:lastModifiedBy>
  <cp:revision>3</cp:revision>
  <dcterms:created xsi:type="dcterms:W3CDTF">2026-03-18T21:32:00Z</dcterms:created>
  <dcterms:modified xsi:type="dcterms:W3CDTF">2026-03-18T23:49:00Z</dcterms:modified>
</cp:coreProperties>
</file>